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47700" cy="1076325"/>
            <wp:effectExtent l="0" t="0" r="0" b="0"/>
            <wp:docPr id="1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32"/>
          <w:szCs w:val="32"/>
          <w:lang w:eastAsia="ru-RU"/>
        </w:rPr>
      </w:pPr>
      <w:r>
        <w:rPr>
          <w:rFonts w:eastAsia="Times New Roman" w:ascii="Times New Roman" w:hAnsi="Times New Roman"/>
          <w:sz w:val="32"/>
          <w:szCs w:val="32"/>
          <w:lang w:eastAsia="ru-RU"/>
        </w:rPr>
        <w:t>КЕМЕРОВСКАЯ ОБЛАСТЬ - КУЗБАСС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caps/>
          <w:sz w:val="32"/>
          <w:szCs w:val="32"/>
          <w:lang w:eastAsia="ru-RU"/>
        </w:rPr>
      </w:pPr>
      <w:r>
        <w:rPr>
          <w:rFonts w:eastAsia="Times New Roman" w:ascii="Times New Roman" w:hAnsi="Times New Roman"/>
          <w:sz w:val="32"/>
          <w:szCs w:val="32"/>
          <w:lang w:eastAsia="ru-RU"/>
        </w:rPr>
        <w:t>НОВОКУЗНЕЦКИЙ ГОРОДСКОЙ ОКРУГ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32"/>
          <w:szCs w:val="32"/>
          <w:lang w:eastAsia="ru-RU"/>
        </w:rPr>
      </w:pPr>
      <w:r>
        <w:rPr>
          <w:rFonts w:eastAsia="Times New Roman" w:ascii="Times New Roman" w:hAnsi="Times New Roman"/>
          <w:sz w:val="32"/>
          <w:szCs w:val="32"/>
          <w:lang w:eastAsia="ru-RU"/>
        </w:rPr>
        <w:t>АДМИНИСТРАЦИЯ ГОРОДА НОВОКУЗНЕЦКА</w:t>
      </w:r>
    </w:p>
    <w:p>
      <w:pPr>
        <w:pStyle w:val="Normal"/>
        <w:pBdr>
          <w:bottom w:val="double" w:sz="4" w:space="6" w:color="000000"/>
        </w:pBdr>
        <w:spacing w:lineRule="auto" w:line="240" w:before="0" w:after="0"/>
        <w:jc w:val="center"/>
        <w:rPr>
          <w:rFonts w:ascii="Times New Roman" w:hAnsi="Times New Roman" w:eastAsia="Times New Roman"/>
          <w:sz w:val="32"/>
          <w:szCs w:val="32"/>
          <w:lang w:eastAsia="ru-RU"/>
        </w:rPr>
      </w:pPr>
      <w:r>
        <w:rPr>
          <w:rFonts w:eastAsia="Times New Roman" w:ascii="Times New Roman" w:hAnsi="Times New Roman"/>
          <w:sz w:val="32"/>
          <w:szCs w:val="32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 № __________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изменений в постановление</w:t>
        <w:br/>
        <w:t>администрации города Новокузнецка</w:t>
        <w:br/>
        <w:t>от 18.04.2014 №61 «Об утверждении</w:t>
        <w:br/>
        <w:t>схем размещения нестационарных</w:t>
        <w:br/>
        <w:t>торговых объектов на территории</w:t>
        <w:br/>
        <w:t>Новокузнецкого городского округа»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624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 Федеральным законом от 28.12.2009 №381-ФЗ «Об основах государственного регулирования торговой деятельности в Российской Федерации», постановлением Коллегии Администрации Кемеровской области от 30.11.2010 № 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 – Кузбасса, без предоставления земельных участков и установления сервитута, публичного сервитута», в целях приведения правовых актов администрации города Новокузнецка в соответствие с действующим законодательством Российской Федерации, упорядочения размещения нестационарных торговых объектов на территории Новокузнецкого городского округа, руководствуясь статьей 40 Устава Новокузнецкого городского округа: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 Внести в постановление администрации города Новокузнецка</w:t>
        <w:br/>
        <w:t>от 18.04.2014 №61 «Об утверждении схем размещения нестационарных торговых объектов на территории Новокузнецкого городского округа»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1.1. В приложении №2 «Схема размещения нестационарных торговых объектов на территории Куйбышевского района Новокузнецкого городского округа»: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 в разделе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 «Текстовая часть»: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– </w:t>
      </w:r>
      <w:r>
        <w:rPr>
          <w:rFonts w:ascii="Times New Roman" w:hAnsi="Times New Roman"/>
          <w:color w:val="000000"/>
          <w:sz w:val="28"/>
          <w:szCs w:val="28"/>
        </w:rPr>
        <w:t>в графе 6 строки 8 таблицы слова «специализированная (продажа продовольственных товаров и сельскохозяйственной продукции)» заменить словами «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специализированная (продажа печатной продукции)</w:t>
      </w:r>
      <w:r>
        <w:rPr>
          <w:rFonts w:ascii="Times New Roman" w:hAnsi="Times New Roman"/>
          <w:color w:val="000000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– </w:t>
      </w:r>
      <w:r>
        <w:rPr>
          <w:rFonts w:ascii="Times New Roman" w:hAnsi="Times New Roman"/>
          <w:color w:val="000000"/>
          <w:sz w:val="28"/>
          <w:szCs w:val="28"/>
        </w:rPr>
        <w:t xml:space="preserve">в графе 6 строки </w:t>
      </w:r>
      <w:r>
        <w:rPr>
          <w:rFonts w:ascii="Times New Roman" w:hAnsi="Times New Roman"/>
          <w:color w:val="000000"/>
          <w:sz w:val="28"/>
          <w:szCs w:val="28"/>
        </w:rPr>
        <w:t>62</w:t>
      </w:r>
      <w:r>
        <w:rPr>
          <w:rFonts w:ascii="Times New Roman" w:hAnsi="Times New Roman"/>
          <w:color w:val="000000"/>
          <w:sz w:val="28"/>
          <w:szCs w:val="28"/>
        </w:rPr>
        <w:t xml:space="preserve"> таблицы  слова «специализированная (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продажа печатной продукции)</w:t>
      </w:r>
      <w:r>
        <w:rPr>
          <w:rFonts w:ascii="Times New Roman" w:hAnsi="Times New Roman"/>
          <w:color w:val="000000"/>
          <w:sz w:val="28"/>
          <w:szCs w:val="28"/>
        </w:rPr>
        <w:t>» заменить словами «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универсальная</w:t>
      </w:r>
      <w:r>
        <w:rPr>
          <w:rFonts w:ascii="Times New Roman" w:hAnsi="Times New Roman"/>
          <w:color w:val="000000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– </w:t>
      </w:r>
      <w:r>
        <w:rPr>
          <w:rFonts w:ascii="Times New Roman" w:hAnsi="Times New Roman"/>
          <w:color w:val="000000"/>
          <w:sz w:val="28"/>
          <w:szCs w:val="28"/>
        </w:rPr>
        <w:t>строку 260 таблицы признать утратившей силу;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2) в разделе II «Графическая часть»: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– </w:t>
      </w:r>
      <w:r>
        <w:rPr>
          <w:rFonts w:ascii="Times New Roman" w:hAnsi="Times New Roman"/>
          <w:color w:val="000000"/>
          <w:sz w:val="28"/>
          <w:szCs w:val="28"/>
        </w:rPr>
        <w:t xml:space="preserve">в графе 2 строки «Специализация торговли» таблицы порядкового номера пункта 8 текстового раздела схемы слова «специализированная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(продажа продовольственных товаров и сельскохозяйственной продукции)» заменить словами «специализированная (продажа печатной продукции)»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– </w:t>
      </w:r>
      <w:r>
        <w:rPr>
          <w:rFonts w:ascii="Times New Roman" w:hAnsi="Times New Roman"/>
          <w:color w:val="000000"/>
          <w:sz w:val="28"/>
          <w:szCs w:val="28"/>
        </w:rPr>
        <w:t>в графе 2 строки «Специализация торговли» таблицы порядкового номера пункта 62 текстового раздела схемы слова «специализированная (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продажа печатной продукции)</w:t>
      </w:r>
      <w:r>
        <w:rPr>
          <w:rFonts w:ascii="Times New Roman" w:hAnsi="Times New Roman"/>
          <w:color w:val="000000"/>
          <w:sz w:val="28"/>
          <w:szCs w:val="28"/>
        </w:rPr>
        <w:t>» заменить словами «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универсальная</w:t>
      </w:r>
      <w:r>
        <w:rPr>
          <w:rFonts w:ascii="Times New Roman" w:hAnsi="Times New Roman"/>
          <w:color w:val="000000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– </w:t>
      </w:r>
      <w:r>
        <w:rPr>
          <w:rFonts w:ascii="Times New Roman" w:hAnsi="Times New Roman"/>
          <w:color w:val="000000"/>
          <w:sz w:val="28"/>
          <w:szCs w:val="28"/>
        </w:rPr>
        <w:t>таблицу и схему места размещения с условными обозначениями порядкового номера пункта 260 текстового раздела схемы признать утратившими силу.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1.2. В приложении №7 «Схема размещения сезонных нестационарных торговых объектов на территории Новокузнецкого городского округа»: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 строку 22 раздела «Центральный район» таблицы раздела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 «Текстовая часть» признать утратившей силу;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2) таблицу и схему места размещения с условными обозначениями порядкового номера пункта 22 текстового раздела схемы подраздела 1 «Центральный район» раздела II «Графическая часть» признать утратившими силу.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1.3. В приложении №8 «Схема компенсационных мест размещения нестационарных торговых объектов на территории Новокузнецкого городского округа»: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1)  раздел «Куйбышевский район» таблицы раздела I «Текстовая часть» дополнить строкой 3 следующего содержания:</w:t>
      </w:r>
    </w:p>
    <w:p>
      <w:pPr>
        <w:pStyle w:val="Normal"/>
        <w:spacing w:lineRule="auto" w:line="240" w:before="0" w:after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4900" w:type="pct"/>
        <w:jc w:val="left"/>
        <w:tblInd w:w="221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657"/>
        <w:gridCol w:w="1991"/>
        <w:gridCol w:w="656"/>
        <w:gridCol w:w="583"/>
        <w:gridCol w:w="1301"/>
        <w:gridCol w:w="2555"/>
        <w:gridCol w:w="1700"/>
      </w:tblGrid>
      <w:tr>
        <w:trPr/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улица Карла Маркса, 10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торговый павильон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spacing w:lineRule="auto" w:line="240" w:before="0" w:after="0"/>
        <w:ind w:firstLine="567"/>
        <w:jc w:val="righ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2) подраздел 2 «Куйбышевский район» р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аздела 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 «Графическая часть» дополнить </w:t>
      </w:r>
      <w:r>
        <w:rPr>
          <w:rFonts w:ascii="Times New Roman" w:hAnsi="Times New Roman"/>
          <w:color w:val="000000"/>
          <w:sz w:val="28"/>
          <w:szCs w:val="28"/>
        </w:rPr>
        <w:t>таблицей и схемой места размещения с условными обозначениями порядкового номера пункта 3 текстового раздела схемы согласно приложению к настоящему постановлению.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 Управлению потребительского рынка и развития предпринимательства администрации города Новокузнецка: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1) разместить изменения в схемы размещения нестационарных торговых объектов на территории Новокузнецкого городского округа, внесенные настоящим постановлением, на официальном сайте администрации города Новокузнецка в информационно-телекоммуникационной сети «Интернет»;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2) направить изменения в схемы размещения нестационарных торговых объектов на территории Новокузнецкого городского округа, внесенные настоящим постановлением, в Министерство промышленности и торговли Кузбасса для размещения их на официальном сайте Министерства промышленности и торговли Кузбасса в информационно-телекоммуникационной сети «Интернет».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 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4. Настоящее постановление вступает в силу после его официального опубликования.</w:t>
      </w:r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5. Контроль за исполнением настоящего постановления возложить на заместителя Главы города по экономическим вопросам</w:t>
      </w:r>
      <w:bookmarkStart w:id="0" w:name="ТекстовоеПоле5_Копия_1"/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853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26"/>
        <w:gridCol w:w="4926"/>
      </w:tblGrid>
      <w:tr>
        <w:trPr/>
        <w:tc>
          <w:tcPr>
            <w:tcW w:w="4926" w:type="dxa"/>
            <w:tcBorders/>
            <w:shd w:color="auto" w:fill="auto" w:val="clear"/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Глава города</w:t>
            </w:r>
          </w:p>
        </w:tc>
        <w:tc>
          <w:tcPr>
            <w:tcW w:w="492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Д.П. Ильин</w:t>
            </w:r>
            <w:bookmarkEnd w:id="0"/>
          </w:p>
        </w:tc>
      </w:tr>
    </w:tbl>
    <w:p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  <w:bookmarkStart w:id="1" w:name="ТекстовоеПоле5"/>
      <w:bookmarkStart w:id="2" w:name="ТекстовоеПоле5"/>
      <w:bookmarkEnd w:id="2"/>
      <w:r>
        <w:br w:type="page"/>
      </w:r>
    </w:p>
    <w:p>
      <w:pPr>
        <w:pStyle w:val="Normal"/>
        <w:spacing w:lineRule="auto" w:line="240" w:before="0" w:after="0"/>
        <w:jc w:val="righ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</w:t>
      </w:r>
    </w:p>
    <w:p>
      <w:pPr>
        <w:pStyle w:val="Normal"/>
        <w:spacing w:lineRule="auto" w:line="240" w:before="0" w:after="0"/>
        <w:jc w:val="righ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к постановлению администрации</w:t>
      </w:r>
    </w:p>
    <w:p>
      <w:pPr>
        <w:pStyle w:val="Normal"/>
        <w:spacing w:lineRule="auto" w:line="240" w:before="0" w:after="0"/>
        <w:jc w:val="righ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города Новокузнецка</w:t>
      </w:r>
    </w:p>
    <w:p>
      <w:pPr>
        <w:pStyle w:val="Normal"/>
        <w:spacing w:lineRule="auto" w:line="240" w:before="0" w:after="0"/>
        <w:jc w:val="righ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от _______________ № ________</w:t>
      </w:r>
    </w:p>
    <w:p>
      <w:pPr>
        <w:pStyle w:val="Normal"/>
        <w:spacing w:lineRule="auto" w:line="240" w:before="360" w:after="0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4950" w:type="pct"/>
        <w:jc w:val="center"/>
        <w:tblInd w:w="0" w:type="dxa"/>
        <w:tblLayout w:type="fixed"/>
        <w:tblCellMar>
          <w:top w:w="62" w:type="dxa"/>
          <w:left w:w="108" w:type="dxa"/>
          <w:bottom w:w="62" w:type="dxa"/>
          <w:right w:w="108" w:type="dxa"/>
        </w:tblCellMar>
        <w:tblLook w:val="04a0"/>
      </w:tblPr>
      <w:tblGrid>
        <w:gridCol w:w="5681"/>
        <w:gridCol w:w="3858"/>
      </w:tblGrid>
      <w:tr>
        <w:trPr>
          <w:trHeight w:val="281" w:hRule="atLeast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Порядковый номер пункта текстового раздела схемы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>
        <w:trPr>
          <w:trHeight w:val="440" w:hRule="atLeast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Адресные ориентиры размещения нестационарного торгового объекта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улица Карла Маркса, 10</w:t>
            </w:r>
          </w:p>
        </w:tc>
      </w:tr>
      <w:tr>
        <w:trPr>
          <w:trHeight w:val="281" w:hRule="atLeast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Площадь размещения нестационарного торгового объекта (кв. м)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>
        <w:trPr>
          <w:trHeight w:val="281" w:hRule="atLeast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Площадь земельного участка, земель или части земельного участка, необходимая для размещения нестационарного торгового объекта (кв. м)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>
        <w:trPr>
          <w:trHeight w:val="281" w:hRule="atLeast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Тип нестационарного торгового объекта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торговый павильон</w:t>
            </w:r>
          </w:p>
        </w:tc>
      </w:tr>
      <w:tr>
        <w:trPr>
          <w:trHeight w:val="281" w:hRule="atLeast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Специализация торговли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специализированная</w:t>
              <w:br/>
              <w:t>(продажа продовольственных товаров и сельскохозяйственной продукции)</w:t>
            </w:r>
          </w:p>
        </w:tc>
      </w:tr>
      <w:tr>
        <w:trPr>
          <w:trHeight w:val="1160" w:hRule="atLeast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субъекты малого или среднего предпринимательства, самозанятые граждане</w:t>
            </w:r>
          </w:p>
        </w:tc>
      </w:tr>
    </w:tbl>
    <w:p>
      <w:pPr>
        <w:pStyle w:val="Normal"/>
        <w:spacing w:lineRule="auto" w:line="240" w:before="480" w:after="240"/>
        <w:jc w:val="center"/>
        <w:rPr>
          <w:color w:val="000000"/>
        </w:rPr>
      </w:pPr>
      <w:r>
        <w:rPr/>
        <w:drawing>
          <wp:inline distT="0" distB="0" distL="0" distR="0">
            <wp:extent cx="6038850" cy="3352800"/>
            <wp:effectExtent l="0" t="0" r="0" b="0"/>
            <wp:docPr id="2" name="Рисунок 15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5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1451" t="9295" r="0" b="5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352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 w:clear="all"/>
      </w:r>
    </w:p>
    <w:p>
      <w:pPr>
        <w:pStyle w:val="Normal"/>
        <w:spacing w:lineRule="auto" w:line="240" w:before="480" w:after="240"/>
        <w:jc w:val="center"/>
        <w:rPr>
          <w:color w:val="000000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Масштаб 1:500</w:t>
      </w:r>
    </w:p>
    <w:tbl>
      <w:tblPr>
        <w:tblW w:w="9213" w:type="dxa"/>
        <w:jc w:val="left"/>
        <w:tblInd w:w="607" w:type="dxa"/>
        <w:tblLayout w:type="fixed"/>
        <w:tblCellMar>
          <w:top w:w="45" w:type="dxa"/>
          <w:left w:w="108" w:type="dxa"/>
          <w:bottom w:w="45" w:type="dxa"/>
          <w:right w:w="108" w:type="dxa"/>
        </w:tblCellMar>
        <w:tblLook w:val="0000"/>
      </w:tblPr>
      <w:tblGrid>
        <w:gridCol w:w="2974"/>
        <w:gridCol w:w="6238"/>
      </w:tblGrid>
      <w:tr>
        <w:trPr/>
        <w:tc>
          <w:tcPr>
            <w:tcW w:w="297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Условные обозначения:</w:t>
            </w:r>
          </w:p>
        </w:tc>
        <w:tc>
          <w:tcPr>
            <w:tcW w:w="6238" w:type="dxa"/>
            <w:tcBorders/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</w:r>
          </w:p>
        </w:tc>
      </w:tr>
      <w:tr>
        <w:trPr>
          <w:trHeight w:val="522" w:hRule="atLeast"/>
        </w:trPr>
        <w:tc>
          <w:tcPr>
            <w:tcW w:w="2974" w:type="dxa"/>
            <w:tcBorders/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behindDoc="0" distT="1270" distB="635" distL="635" distR="1270" simplePos="0" locked="0" layoutInCell="1" allowOverlap="1" relativeHeight="4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157480</wp:posOffset>
                      </wp:positionV>
                      <wp:extent cx="990600" cy="635"/>
                      <wp:effectExtent l="635" t="1270" r="1270" b="635"/>
                      <wp:wrapNone/>
                      <wp:docPr id="3" name="Фигура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72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path="m,l21600,21600nfe">
                      <v:stroke joinstyle="miter"/>
                      <v:path gradientshapeok="t" o:connecttype="rect" textboxrect="0,0,21600,21600"/>
                    </v:shapetype>
                    <v:shape id="shape_0" ID="Фигура1" path="m0,0l-2147483648,-2147483647e" stroked="t" o:allowincell="f" style="position:absolute;margin-left:16.6pt;margin-top:12.4pt;width:77.95pt;height:0pt;mso-wrap-style:none;v-text-anchor:middle" type="_x0000_t32">
                      <v:fill o:detectmouseclick="t" on="false"/>
                      <v:stroke color="black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23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граница места размещения нестационарного торгового объекта;</w:t>
            </w:r>
          </w:p>
        </w:tc>
      </w:tr>
      <w:tr>
        <w:trPr>
          <w:trHeight w:val="522" w:hRule="atLeast"/>
        </w:trPr>
        <w:tc>
          <w:tcPr>
            <w:tcW w:w="2974" w:type="dxa"/>
            <w:tcBorders/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behindDoc="0" distT="38735" distB="38100" distL="635" distR="0" simplePos="0" locked="0" layoutInCell="1" allowOverlap="1" relativeHeight="5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168275</wp:posOffset>
                      </wp:positionV>
                      <wp:extent cx="1038225" cy="635"/>
                      <wp:effectExtent l="635" t="38735" r="0" b="38100"/>
                      <wp:wrapNone/>
                      <wp:docPr id="4" name="Фигура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24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headEnd len="med" type="triangle" w="med"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Фигура2" path="m0,0l-2147483648,-2147483647e" stroked="t" o:allowincell="f" style="position:absolute;margin-left:12.85pt;margin-top:13.25pt;width:81.7pt;height:0pt;mso-wrap-style:none;v-text-anchor:middle" type="_x0000_t32">
                      <v:fill o:detectmouseclick="t" on="false"/>
                      <v:stroke color="black" startarrow="block" endarrow="block" startarrowwidth="medium" startarrowlength="medium" endarrowwidth="medium" endarrowlength="medium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623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расстояние до существующих элементов благоустройства, дорожных знаков, светофоров, объектов капитального строительства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».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W w:w="9852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027"/>
        <w:gridCol w:w="4824"/>
      </w:tblGrid>
      <w:tr>
        <w:trPr/>
        <w:tc>
          <w:tcPr>
            <w:tcW w:w="502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города по экономическим вопросам</w:t>
            </w:r>
          </w:p>
        </w:tc>
        <w:tc>
          <w:tcPr>
            <w:tcW w:w="4824" w:type="dxa"/>
            <w:tcBorders/>
            <w:shd w:color="auto"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И.С. Прошунина</w:t>
            </w:r>
          </w:p>
        </w:tc>
      </w:tr>
    </w:tbl>
    <w:p>
      <w:pPr>
        <w:sectPr>
          <w:headerReference w:type="even" r:id="rId4"/>
          <w:headerReference w:type="default" r:id="rId5"/>
          <w:headerReference w:type="first" r:id="rId6"/>
          <w:type w:val="nextPage"/>
          <w:pgSz w:w="11906" w:h="16838"/>
          <w:pgMar w:left="1418" w:right="851" w:gutter="0" w:header="709" w:top="1134" w:footer="0" w:bottom="1134"/>
          <w:pgNumType w:fmt="decimal"/>
          <w:formProt w:val="false"/>
          <w:titlePg/>
          <w:textDirection w:val="lrTb"/>
          <w:docGrid w:type="default" w:linePitch="360" w:charSpace="8192"/>
        </w:sectPr>
      </w:pPr>
    </w:p>
    <w:p>
      <w:pPr>
        <w:pStyle w:val="Normal"/>
        <w:spacing w:lineRule="auto" w:line="240" w:before="0" w:after="0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Лист согласования</w:t>
      </w:r>
    </w:p>
    <w:p>
      <w:pPr>
        <w:pStyle w:val="Normal"/>
        <w:spacing w:lineRule="auto" w:line="240" w:before="0" w:after="0"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проекта правового акта администрации города Новокузнецка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Style w:val="af0"/>
        <w:tblW w:w="985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18"/>
        <w:gridCol w:w="423"/>
        <w:gridCol w:w="2149"/>
        <w:gridCol w:w="1539"/>
        <w:gridCol w:w="425"/>
        <w:gridCol w:w="2798"/>
      </w:tblGrid>
      <w:tr>
        <w:trPr/>
        <w:tc>
          <w:tcPr>
            <w:tcW w:w="50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Вид правового акта: постановление</w:t>
            </w:r>
          </w:p>
        </w:tc>
        <w:tc>
          <w:tcPr>
            <w:tcW w:w="47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от ______________ № __________</w:t>
            </w:r>
          </w:p>
        </w:tc>
      </w:tr>
      <w:tr>
        <w:trPr>
          <w:trHeight w:val="170" w:hRule="exact"/>
        </w:trPr>
        <w:tc>
          <w:tcPr>
            <w:tcW w:w="50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16"/>
                <w:szCs w:val="16"/>
                <w:lang w:val="ru-RU" w:eastAsia="ru-RU" w:bidi="ru-RU"/>
              </w:rPr>
              <w:t>ё</w:t>
            </w:r>
          </w:p>
        </w:tc>
        <w:tc>
          <w:tcPr>
            <w:tcW w:w="47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16"/>
                <w:szCs w:val="16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16"/>
                <w:szCs w:val="16"/>
                <w:lang w:val="ru-RU" w:eastAsia="ru-RU" w:bidi="ru-RU"/>
              </w:rPr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Наименование (заголовок) правового акта: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" w:ascii="Times New Roman" w:hAnsi="Times New Roman" w:eastAsiaTheme="minorEastAsia"/>
                <w:color w:val="000000"/>
                <w:kern w:val="2"/>
                <w:sz w:val="24"/>
                <w:szCs w:val="24"/>
                <w:lang w:val="ru-RU" w:eastAsia="ru-RU" w:bidi="ru-RU"/>
              </w:rPr>
              <w:t>«О внесении изменений в постановление администрации города Новокузнецка  от 18.04.2014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" w:ascii="Times New Roman" w:hAnsi="Times New Roman" w:eastAsiaTheme="minorEastAsia"/>
                <w:color w:val="000000"/>
                <w:kern w:val="2"/>
                <w:sz w:val="24"/>
                <w:szCs w:val="24"/>
                <w:lang w:val="ru-RU" w:eastAsia="ru-RU" w:bidi="ru-RU"/>
              </w:rPr>
              <w:t>№</w:t>
            </w:r>
            <w:r>
              <w:rPr>
                <w:rFonts w:eastAsia="" w:ascii="Times New Roman" w:hAnsi="Times New Roman" w:eastAsiaTheme="minorEastAsia"/>
                <w:color w:val="000000"/>
                <w:kern w:val="2"/>
                <w:sz w:val="24"/>
                <w:szCs w:val="24"/>
                <w:lang w:val="ru-RU" w:eastAsia="ru-RU" w:bidi="ru-RU"/>
              </w:rPr>
              <w:t>61 «</w:t>
            </w:r>
            <w:r>
              <w:rPr>
                <w:rFonts w:eastAsia="Calib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Об утверждении схем размещения нестационарных торговых объектов на территории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Новокузнецкого городского округа»</w:t>
            </w:r>
          </w:p>
        </w:tc>
      </w:tr>
      <w:tr>
        <w:trPr>
          <w:trHeight w:val="170" w:hRule="exact"/>
        </w:trPr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16"/>
                <w:szCs w:val="16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16"/>
                <w:szCs w:val="16"/>
                <w:lang w:val="ru-RU" w:eastAsia="ru-RU" w:bidi="ru-RU"/>
              </w:rPr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Проект правового акта внесен: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 xml:space="preserve">Начальник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управления потребительского рынка и развития предпринимательства</w:t>
            </w:r>
          </w:p>
        </w:tc>
      </w:tr>
      <w:tr>
        <w:trPr>
          <w:trHeight w:val="118" w:hRule="atLeast"/>
        </w:trPr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должность лица, внесшего правовой акт (разработчик)</w:t>
            </w:r>
          </w:p>
        </w:tc>
      </w:tr>
      <w:tr>
        <w:trPr>
          <w:trHeight w:val="284" w:hRule="exact"/>
        </w:trPr>
        <w:tc>
          <w:tcPr>
            <w:tcW w:w="2518" w:type="dxa"/>
            <w:tcBorders>
              <w:top w:val="nil"/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Шиллер Я.В.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подпись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8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Проект правового акта согласован: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Первый заместитель Главы города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должность лица, согласующего проект правового акта</w:t>
            </w:r>
          </w:p>
        </w:tc>
      </w:tr>
      <w:tr>
        <w:trPr>
          <w:trHeight w:val="284" w:hRule="atLeast"/>
        </w:trPr>
        <w:tc>
          <w:tcPr>
            <w:tcW w:w="2518" w:type="dxa"/>
            <w:tcBorders>
              <w:top w:val="nil"/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Бедарев Е.А.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подпись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8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Заместитель Главы города по экономическим вопросам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должность лица, согласующего проект правового акта</w:t>
            </w:r>
          </w:p>
        </w:tc>
      </w:tr>
      <w:tr>
        <w:trPr>
          <w:trHeight w:val="284" w:hRule="atLeast"/>
        </w:trPr>
        <w:tc>
          <w:tcPr>
            <w:tcW w:w="2518" w:type="dxa"/>
            <w:tcBorders>
              <w:top w:val="nil"/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Прошунина И.С.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подпись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8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Заместитель Главы города – руководитель администрации Куйбышевского района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должность лица, согласующего проект правового акта</w:t>
            </w:r>
          </w:p>
        </w:tc>
      </w:tr>
      <w:tr>
        <w:trPr>
          <w:trHeight w:val="284" w:hRule="atLeast"/>
        </w:trPr>
        <w:tc>
          <w:tcPr>
            <w:tcW w:w="2518" w:type="dxa"/>
            <w:tcBorders>
              <w:top w:val="nil"/>
              <w:left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Маисеев С.Н.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подпись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8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Заместитель Главы города – руководитель администрации Центрального района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должность лица, согласующего проект правового акта</w:t>
            </w:r>
          </w:p>
        </w:tc>
      </w:tr>
      <w:tr>
        <w:trPr/>
        <w:tc>
          <w:tcPr>
            <w:tcW w:w="25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Кузнецов А.А.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подпись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Председатель Комитета градостроительства и архитектуры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должность лица, согласующего проект правового акта</w:t>
            </w:r>
          </w:p>
        </w:tc>
      </w:tr>
      <w:tr>
        <w:trPr/>
        <w:tc>
          <w:tcPr>
            <w:tcW w:w="25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Левченко В.С.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подпись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Председатель Комитета по управлению муниципальным имуществом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должность лица, согласующего проект правового акта</w:t>
            </w:r>
          </w:p>
        </w:tc>
      </w:tr>
      <w:tr>
        <w:trPr/>
        <w:tc>
          <w:tcPr>
            <w:tcW w:w="25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Сафонова Н.В.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подпись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Начальник правового управления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должность лица, согласующего проект правового акта</w:t>
            </w:r>
          </w:p>
        </w:tc>
      </w:tr>
      <w:tr>
        <w:trPr/>
        <w:tc>
          <w:tcPr>
            <w:tcW w:w="25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Баскакова И.Ю.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подпись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Заместитель Главы города – руководитель аппарата</w:t>
            </w:r>
          </w:p>
        </w:tc>
      </w:tr>
      <w:tr>
        <w:trPr/>
        <w:tc>
          <w:tcPr>
            <w:tcW w:w="9852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должность лица, согласующего проект правового акта</w:t>
            </w:r>
          </w:p>
        </w:tc>
      </w:tr>
      <w:tr>
        <w:trPr/>
        <w:tc>
          <w:tcPr>
            <w:tcW w:w="251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Calib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Бисенова Е.С.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</w:tr>
      <w:tr>
        <w:trPr/>
        <w:tc>
          <w:tcPr>
            <w:tcW w:w="2518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подпись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расшифровка подписи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Source Han Sans CN Regular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vertAlign w:val="superscript"/>
                <w:lang w:val="ru-RU" w:eastAsia="ru-RU" w:bidi="ru-RU"/>
              </w:rPr>
              <w:t>дата согласования</w:t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ource Han Sans CN Regular"/>
                <w:color w:val="000000"/>
                <w:kern w:val="2"/>
                <w:sz w:val="16"/>
                <w:szCs w:val="16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16"/>
                <w:szCs w:val="16"/>
                <w:lang w:val="ru-RU" w:eastAsia="ru-RU" w:bidi="ru-RU"/>
              </w:rPr>
            </w:r>
          </w:p>
        </w:tc>
      </w:tr>
      <w:tr>
        <w:trPr/>
        <w:tc>
          <w:tcPr>
            <w:tcW w:w="98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Source Han Sans CN Regular"/>
                <w:color w:val="000000"/>
                <w:kern w:val="2"/>
                <w:sz w:val="24"/>
                <w:szCs w:val="24"/>
                <w:lang w:val="ru-RU" w:eastAsia="ru-RU" w:bidi="ru-RU"/>
              </w:rPr>
            </w:pPr>
            <w:r>
              <w:rPr>
                <w:rFonts w:eastAsia="Source Han Sans CN Regular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 xml:space="preserve">Разослано: </w:t>
            </w:r>
            <w:r>
              <w:rPr>
                <w:rFonts w:eastAsia="Calib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 xml:space="preserve">в дело, администрациям районов – 6, </w:t>
            </w:r>
            <w:r>
              <w:rPr>
                <w:rFonts w:eastAsia="Times New Roman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 xml:space="preserve">Комитет градостроительства и архитектуры, КУМИ, </w:t>
            </w:r>
            <w:r>
              <w:rPr>
                <w:rFonts w:eastAsia="Calibri" w:ascii="Times New Roman" w:hAnsi="Times New Roman"/>
                <w:color w:val="000000"/>
                <w:kern w:val="2"/>
                <w:sz w:val="24"/>
                <w:szCs w:val="24"/>
                <w:lang w:val="ru-RU" w:eastAsia="ru-RU" w:bidi="ru-RU"/>
              </w:rPr>
              <w:t>правовое управление (регистр), управление информационной политики и социальных коммуникаций</w:t>
            </w:r>
            <w:bookmarkStart w:id="3" w:name="OLE_LINK81"/>
            <w:bookmarkStart w:id="4" w:name="OLE_LINK82"/>
            <w:bookmarkStart w:id="5" w:name="OLE_LINK83"/>
            <w:bookmarkStart w:id="6" w:name="OLE_LINK84"/>
            <w:bookmarkEnd w:id="3"/>
            <w:bookmarkEnd w:id="4"/>
            <w:bookmarkEnd w:id="5"/>
            <w:bookmarkEnd w:id="6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4"/>
          <w:szCs w:val="4"/>
        </w:rPr>
      </w:pPr>
      <w:r>
        <w:rPr>
          <w:rFonts w:ascii="Times New Roman" w:hAnsi="Times New Roman"/>
          <w:color w:val="000000"/>
          <w:sz w:val="4"/>
          <w:szCs w:val="4"/>
        </w:rPr>
      </w:r>
    </w:p>
    <w:sectPr>
      <w:headerReference w:type="default" r:id="rId7"/>
      <w:headerReference w:type="first" r:id="rId8"/>
      <w:type w:val="nextPage"/>
      <w:pgSz w:w="11906" w:h="16838"/>
      <w:pgMar w:left="1418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5</w:t>
    </w:r>
    <w:r>
      <w:rPr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11</w:t>
    </w:r>
    <w:r>
      <w:rPr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d7a8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ad7a8d"/>
    <w:rPr>
      <w:rFonts w:ascii="Calibri" w:hAnsi="Calibri" w:eastAsia="Calibri" w:cs="Times New Roman"/>
      <w:sz w:val="20"/>
      <w:szCs w:val="20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7a8d"/>
    <w:rPr>
      <w:rFonts w:ascii="Tahoma" w:hAnsi="Tahoma" w:eastAsia="Calibri" w:cs="Tahoma"/>
      <w:sz w:val="16"/>
      <w:szCs w:val="16"/>
    </w:rPr>
  </w:style>
  <w:style w:type="paragraph" w:styleId="Style16" w:customStyle="1">
    <w:name w:val="Заголовок"/>
    <w:basedOn w:val="Normal"/>
    <w:next w:val="BodyText"/>
    <w:qFormat/>
    <w:rsid w:val="007e3bdf"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rsid w:val="007e3bdf"/>
    <w:pPr>
      <w:spacing w:before="0" w:after="140"/>
    </w:pPr>
    <w:rPr/>
  </w:style>
  <w:style w:type="paragraph" w:styleId="List">
    <w:name w:val="List"/>
    <w:basedOn w:val="BodyText"/>
    <w:rsid w:val="007e3bdf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rsid w:val="007e3bd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IndexHeading">
    <w:name w:val="index heading"/>
    <w:basedOn w:val="Normal"/>
    <w:qFormat/>
    <w:rsid w:val="007e3bdf"/>
    <w:pPr>
      <w:suppressLineNumbers/>
    </w:pPr>
    <w:rPr>
      <w:rFonts w:ascii="PT Astra Serif" w:hAnsi="PT Astra Serif" w:cs="Noto Sans Devanagari"/>
    </w:rPr>
  </w:style>
  <w:style w:type="paragraph" w:styleId="ConsPlusNormal" w:customStyle="1">
    <w:name w:val="ConsPlusNormal"/>
    <w:qFormat/>
    <w:rsid w:val="00ad7a8d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HeaderandFooter" w:customStyle="1">
    <w:name w:val="Header and Footer"/>
    <w:basedOn w:val="Normal"/>
    <w:qFormat/>
    <w:rsid w:val="007e3bdf"/>
    <w:pPr/>
    <w:rPr/>
  </w:style>
  <w:style w:type="paragraph" w:styleId="Header">
    <w:name w:val="header"/>
    <w:basedOn w:val="Normal"/>
    <w:link w:val="Style14"/>
    <w:uiPriority w:val="99"/>
    <w:unhideWhenUsed/>
    <w:rsid w:val="00ad7a8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7a8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8" w:customStyle="1">
    <w:name w:val="Верхний колонтитул слева"/>
    <w:basedOn w:val="Header"/>
    <w:qFormat/>
    <w:rsid w:val="007e3bdf"/>
    <w:pPr/>
    <w:rPr/>
  </w:style>
  <w:style w:type="paragraph" w:styleId="Style19" w:customStyle="1">
    <w:name w:val="Содержимое таблицы"/>
    <w:basedOn w:val="Normal"/>
    <w:qFormat/>
    <w:rsid w:val="007e3bdf"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rsid w:val="007e3bdf"/>
    <w:pPr>
      <w:jc w:val="center"/>
    </w:pPr>
    <w:rPr>
      <w:b/>
      <w:bCs/>
    </w:rPr>
  </w:style>
  <w:style w:type="numbering" w:styleId="Style21" w:customStyle="1">
    <w:name w:val="Без списка"/>
    <w:uiPriority w:val="99"/>
    <w:semiHidden/>
    <w:unhideWhenUsed/>
    <w:qFormat/>
    <w:rsid w:val="007e3bdf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a239cb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Application>LibreOffice/24.8.4.2$Linux_X86_64 LibreOffice_project/480$Build-2</Application>
  <AppVersion>15.0000</AppVersion>
  <Pages>6</Pages>
  <Words>935</Words>
  <Characters>7391</Characters>
  <CharactersWithSpaces>8206</CharactersWithSpaces>
  <Paragraphs>136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2026-05-10T07:35:00Z</dcterms:created>
  <dc:creator>user1</dc:creator>
  <dc:description/>
  <dc:language>ru-RU</dc:language>
  <cp:lastModifiedBy/>
  <cp:lastPrinted>2024-03-26T04:46:00Z</cp:lastPrinted>
  <dcterms:modified xsi:type="dcterms:W3CDTF">2026-05-20T11:40:32Z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